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математике </w:t>
      </w:r>
      <w:r>
        <w:rPr>
          <w:rFonts w:hint="default"/>
          <w:b/>
          <w:color w:val="262633"/>
          <w:lang w:val="ru-RU"/>
        </w:rPr>
        <w:t>7</w:t>
      </w:r>
      <w:bookmarkStart w:id="0" w:name="_GoBack"/>
      <w:bookmarkEnd w:id="0"/>
      <w:r>
        <w:rPr>
          <w:b/>
          <w:color w:val="262633"/>
        </w:rPr>
        <w:t xml:space="preserve"> класс.</w:t>
      </w:r>
    </w:p>
    <w:p>
      <w:pPr>
        <w:shd w:val="clear" w:color="auto" w:fill="FFFFFF"/>
        <w:ind w:left="567"/>
        <w:jc w:val="center"/>
        <w:rPr>
          <w:b/>
          <w:color w:val="FF0000"/>
        </w:rPr>
      </w:pPr>
    </w:p>
    <w:p>
      <w:pPr>
        <w:shd w:val="clear" w:color="auto" w:fill="FFFFFF"/>
        <w:ind w:firstLine="567"/>
        <w:jc w:val="both"/>
      </w:pPr>
      <w:r>
        <w:t xml:space="preserve">В 2022- 2023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  <w:r>
        <w:t>Назначение КИМ для проведения проверочной работы по математике — оценить качество подготовки по математике обучающихся 7 классов с углубленным изучением математики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1.</w:t>
      </w:r>
    </w:p>
    <w:p>
      <w:pPr>
        <w:ind w:firstLine="567"/>
        <w:jc w:val="both"/>
        <w:rPr>
          <w:bCs/>
        </w:rPr>
      </w:pPr>
      <w:r>
        <w:rPr>
          <w:bCs/>
        </w:rPr>
        <w:t>Обучающихся – 21 человек.</w:t>
      </w:r>
    </w:p>
    <w:p>
      <w:pPr>
        <w:ind w:firstLine="567"/>
        <w:jc w:val="both"/>
        <w:rPr>
          <w:bCs/>
        </w:rPr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Структура проверочной работы </w:t>
      </w:r>
    </w:p>
    <w:p>
      <w:pPr>
        <w:ind w:firstLine="567"/>
        <w:jc w:val="both"/>
      </w:pPr>
      <w:r>
        <w:t xml:space="preserve">Работа содержит 15 заданий. </w:t>
      </w:r>
    </w:p>
    <w:p>
      <w:pPr>
        <w:ind w:firstLine="567"/>
        <w:jc w:val="both"/>
      </w:pPr>
      <w:r>
        <w:t xml:space="preserve">В заданиях 1–6, 9–11 необходимо записать только ответ. </w:t>
      </w:r>
    </w:p>
    <w:p>
      <w:pPr>
        <w:ind w:firstLine="567"/>
        <w:jc w:val="both"/>
        <w:rPr>
          <w:bCs/>
        </w:rPr>
      </w:pPr>
      <w:r>
        <w:t>В заданиях 7–8, 12–15 требуется записать полное решение и ответ.</w:t>
      </w:r>
    </w:p>
    <w:p>
      <w:pPr>
        <w:ind w:firstLine="567"/>
        <w:jc w:val="both"/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>2. Время выполнения варианта проверочной работы</w:t>
      </w:r>
    </w:p>
    <w:p>
      <w:pPr>
        <w:ind w:firstLine="567"/>
        <w:jc w:val="both"/>
      </w:pPr>
      <w:r>
        <w:t>На выполнение проверочной работы по математике дается 90 минут.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</w:rPr>
        <w:t>3. Распределение заданий проверочной работы по уровню сложности</w:t>
      </w:r>
    </w:p>
    <w:p>
      <w:pPr>
        <w:ind w:firstLine="567"/>
      </w:pPr>
      <w:r>
        <w:t>Распределение заданий по уровню сложности приведено в табл. 1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  <w:rPr>
          <w:b/>
        </w:rPr>
      </w:pPr>
      <w:r>
        <w:rPr>
          <w:b/>
        </w:rPr>
        <w:t>4. Типы заданий, сценарии выполнения заданий</w:t>
      </w:r>
    </w:p>
    <w:p>
      <w:pPr>
        <w:ind w:firstLine="567"/>
        <w:jc w:val="both"/>
      </w:pPr>
      <w: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навыками, в том числе преобразования выражений, содержащих степень с натуральным показателем и использование формул сокращённого умножения. </w:t>
      </w:r>
    </w:p>
    <w:p>
      <w:pPr>
        <w:ind w:firstLine="567"/>
        <w:jc w:val="both"/>
      </w:pPr>
      <w:r>
        <w:t xml:space="preserve">Задание 3 направлено на проверку умений решать логические задачи, а также находить пересечение, объединение, подмножество в простейших ситуациях. </w:t>
      </w:r>
    </w:p>
    <w:p>
      <w:pPr>
        <w:ind w:firstLine="567"/>
        <w:jc w:val="both"/>
      </w:pPr>
      <w:r>
        <w:t xml:space="preserve">Задания 4, 6, 13 и 14 проверяют умение оперировать свойствами геометрических фигур, применять геометрические факты для решения задач. </w:t>
      </w:r>
    </w:p>
    <w:p>
      <w:pPr>
        <w:ind w:firstLine="567"/>
        <w:jc w:val="both"/>
      </w:pPr>
      <w:r>
        <w:t xml:space="preserve">В заданиях 5 и 12 проверяется умение использовать для решения задач информацию, представленную в таблицах или на графиках, и статистические характеристики: среднее арифметическое, медиана, наибольшее и наименьшее значения, размах. </w:t>
      </w:r>
    </w:p>
    <w:p>
      <w:pPr>
        <w:ind w:firstLine="567"/>
        <w:jc w:val="both"/>
      </w:pPr>
      <w:r>
        <w:t xml:space="preserve">В задании 7 проверяется умение решать линейные уравнения, а также системы линейных уравнений. </w:t>
      </w:r>
    </w:p>
    <w:p>
      <w:pPr>
        <w:ind w:firstLine="567"/>
        <w:jc w:val="both"/>
      </w:pPr>
      <w:r>
        <w:t xml:space="preserve">В задании 8 проверяется умение выполнять преобразования буквенных выражений с использованием формул сокращённого умножения. </w:t>
      </w:r>
    </w:p>
    <w:p>
      <w:pPr>
        <w:ind w:firstLine="567"/>
        <w:jc w:val="both"/>
      </w:pPr>
      <w:r>
        <w:t xml:space="preserve">Задание 9 направлено на проверку умения извлекать необходимую информацию, представленную на диаграммах, делать оценки, прикидки при практических расчётах. </w:t>
      </w:r>
    </w:p>
    <w:p>
      <w:pPr>
        <w:ind w:firstLine="567"/>
        <w:jc w:val="both"/>
      </w:pPr>
      <w:r>
        <w:t xml:space="preserve">Задание 10 направлено на проверку умения работать с графами. </w:t>
      </w:r>
    </w:p>
    <w:p>
      <w:pPr>
        <w:ind w:firstLine="567"/>
        <w:jc w:val="both"/>
      </w:pPr>
      <w:r>
        <w:t xml:space="preserve">В задании 11 проверяется умение решать логические задачи, используя признаки делимости. </w:t>
      </w:r>
    </w:p>
    <w:p>
      <w:pPr>
        <w:ind w:firstLine="567"/>
        <w:jc w:val="both"/>
      </w:pPr>
      <w:r>
        <w:t>Задание 15 направлено на проверку умения решать текстовые задачи на производительность, покупки, движение.</w:t>
      </w:r>
    </w:p>
    <w:p>
      <w:pPr>
        <w:ind w:firstLine="567"/>
        <w:jc w:val="both"/>
      </w:pPr>
    </w:p>
    <w:p>
      <w:pPr>
        <w:ind w:firstLine="567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>
      <w:pPr>
        <w:ind w:firstLine="567"/>
        <w:jc w:val="both"/>
      </w:pPr>
      <w:r>
        <w:t xml:space="preserve">Правильное решение каждого из заданий 1–4, 6, 9–11 оценивается 1 баллом. Задание считается выполненным верно, если ученик дал верный ответ: записал правильное число, правильную величину. </w:t>
      </w:r>
    </w:p>
    <w:p>
      <w:pPr>
        <w:ind w:firstLine="567"/>
        <w:jc w:val="both"/>
      </w:pPr>
      <w:r>
        <w:t xml:space="preserve">Правильное решение задания 7 оценивается 1 баллом. Задание считается выполненным верно, если ученик дал полное решение и верный ответ. </w:t>
      </w:r>
    </w:p>
    <w:p>
      <w:pPr>
        <w:ind w:firstLine="567"/>
        <w:jc w:val="both"/>
      </w:pPr>
      <w:r>
        <w:t xml:space="preserve">Выполнение каждого из заданий 5, 8, 12–15 оценивается от 0 до 2 баллов. </w:t>
      </w:r>
    </w:p>
    <w:p>
      <w:pPr>
        <w:ind w:firstLine="567"/>
        <w:jc w:val="both"/>
      </w:pPr>
      <w:r>
        <w:t>Максимальный первичный балл — 21.</w:t>
      </w:r>
    </w:p>
    <w:p>
      <w:pPr>
        <w:ind w:firstLine="567"/>
        <w:jc w:val="right"/>
        <w:rPr>
          <w:i/>
        </w:rPr>
      </w:pPr>
      <w:r>
        <w:rPr>
          <w:i/>
        </w:rPr>
        <w:t xml:space="preserve">Таблица 2 </w:t>
      </w:r>
    </w:p>
    <w:p>
      <w:pPr>
        <w:ind w:firstLine="567"/>
        <w:jc w:val="center"/>
        <w:rPr>
          <w:b/>
        </w:rPr>
      </w:pPr>
      <w:r>
        <w:rPr>
          <w:b/>
        </w:rPr>
        <w:t xml:space="preserve">Рекомендации по переводу первичных баллов 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</w:pPr>
      <w:r>
        <w:t xml:space="preserve"> 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1276"/>
        <w:gridCol w:w="1275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3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0-4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5-10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11-15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16-21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24358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5,46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38,76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39,82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14,28</w:t>
            </w:r>
          </w:p>
        </w:tc>
      </w:tr>
    </w:tbl>
    <w:p>
      <w:pPr>
        <w:ind w:firstLine="567"/>
        <w:rPr>
          <w:b/>
        </w:rPr>
      </w:pPr>
    </w:p>
    <w:p>
      <w:pPr>
        <w:ind w:firstLine="567"/>
        <w:jc w:val="both"/>
      </w:pPr>
      <w:r>
        <w:t>Как видно из таблицы все 21 семиклассник (100%) справились с ВПР по математике (углубленный уровень)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61,9%. Анализ результатов ВПР показывает, что показатели качества обученности обучающихся 7 классов ниже на 4,09% среднего значения по городу Уфа и на 4,14% ниже показателя РБ, но на 6,12% выше показателя РФ. </w:t>
      </w:r>
    </w:p>
    <w:p>
      <w:pPr>
        <w:ind w:firstLine="567"/>
        <w:jc w:val="both"/>
      </w:pPr>
      <w:r>
        <w:t>Оценку «5» получили 14,28% обучающихся, что на 9,19% ниже показателя по городу Уфа, на 6,06% ниже показателя РБ и на 1,68% ниже показателя РФ.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5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21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3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  21 (100%) </w:t>
      </w:r>
      <w:r>
        <w:t>обучающихся 7 класса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5 до 21</w:t>
      </w:r>
      <w:r>
        <w:t xml:space="preserve"> балла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  <w:r>
        <w:t xml:space="preserve">Обучающихся не справившихся с заданиями и набравших от </w:t>
      </w:r>
      <w:r>
        <w:rPr>
          <w:b/>
        </w:rPr>
        <w:t xml:space="preserve">0 до 6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шкале, нет. </w:t>
      </w:r>
    </w:p>
    <w:p>
      <w:pPr>
        <w:ind w:firstLine="567"/>
        <w:jc w:val="both"/>
      </w:pPr>
      <w:r>
        <w:t>Данные о выполнении заданий (%) проверочной работы по математике по проверяемым элементам содержания и умениям приведены в таблице 5.</w:t>
      </w:r>
    </w:p>
    <w:p>
      <w:pPr>
        <w:ind w:firstLine="567"/>
        <w:jc w:val="both"/>
      </w:pPr>
    </w:p>
    <w:p>
      <w:pPr>
        <w:widowControl w:val="0"/>
        <w:numPr>
          <w:ilvl w:val="0"/>
          <w:numId w:val="1"/>
        </w:numPr>
        <w:autoSpaceDE w:val="0"/>
        <w:autoSpaceDN w:val="0"/>
        <w:ind w:left="851" w:firstLine="142"/>
        <w:jc w:val="both"/>
        <w:rPr>
          <w:b/>
        </w:rPr>
      </w:pPr>
      <w:r>
        <w:t>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4</w:t>
      </w:r>
    </w:p>
    <w:tbl>
      <w:tblPr>
        <w:tblStyle w:val="6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</w:tbl>
    <w:p>
      <w:pPr>
        <w:ind w:left="567" w:firstLine="567"/>
        <w:rPr>
          <w:b/>
        </w:rPr>
      </w:pPr>
    </w:p>
    <w:p>
      <w:pPr>
        <w:ind w:firstLine="567"/>
        <w:jc w:val="both"/>
      </w:pPr>
      <w:r>
        <w:t xml:space="preserve">Представленные в таблице 4 данные позволяют сравнить гистограмму распределения первичных баллов результатов ВПР с отметками по журналу по математике и отметить, что </w:t>
      </w:r>
      <w:r>
        <w:rPr>
          <w:b/>
        </w:rPr>
        <w:t>20 об</w:t>
      </w:r>
      <w:r>
        <w:t xml:space="preserve">учающихся подтвердили свои оценки и </w:t>
      </w:r>
      <w:r>
        <w:rPr>
          <w:b/>
        </w:rPr>
        <w:t xml:space="preserve">1 </w:t>
      </w:r>
      <w:r>
        <w:t>понизил.</w:t>
      </w:r>
    </w:p>
    <w:p>
      <w:pPr>
        <w:ind w:firstLine="567"/>
        <w:jc w:val="both"/>
      </w:pPr>
    </w:p>
    <w:p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5"/>
        <w:gridCol w:w="438"/>
        <w:gridCol w:w="706"/>
        <w:gridCol w:w="709"/>
        <w:gridCol w:w="771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55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Развитие представлений о числе и числовых системах от натуральных до действительных чисел. Оперировать понятиями «обыкновенная дробь», «смешанное число». Производить преобразования выражений, содержащих степень с натуральным показателем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64,27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73,58</w:t>
            </w:r>
          </w:p>
        </w:tc>
        <w:tc>
          <w:tcPr>
            <w:tcW w:w="7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Развитие представлений о числе и числовых системах от натуральных до действительных чисел. Оперировать понятием «десятичная дробь»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Умение анализировать, извлекать необходимую информацию. Решать логические задачи; находить пересечение, объединение, подмножество в простейших ситуациях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72,54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73,81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Умение извлекать и анализировать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61,04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73,06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применять для решения задач геометрические факты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73,17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68,37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 Овладение приёмами решения уравнений, систем уравнений. Оперировать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64,97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Овладение символьным языком алгебры. 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71,49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Умение извлекать и анализировать информацию, представленную в таблицах, на диаграммах, графиках; умение пользоваться оценкой и прикидкой при практических расчётах. Читать и анализировать информацию, представленную в виде таблицы, диаграммы, графика. Оценивать результаты вычислений при решении практических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представлений об инструментах описания данных. Оперировать понятием «граф»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36,93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37,11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 Развитие умений применять изученные понятия, результаты, методы для решения задач. Решать логические задачи; выполнять прикидку и оценку результата вычислений, оценку значений числовых выражений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 Умение извлекать и анализировать информацию, представленную в таблицах, на диаграммах, графиках. 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51,19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 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37,42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46,94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9,52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  <w:rPr>
          <w:color w:val="000000"/>
        </w:rPr>
      </w:pPr>
      <w:r>
        <w:t xml:space="preserve">Проанализировав таблицу 5, можно сделать вывод, что наибольшее затруднение у обучающихся 7 класса на ВПР по математике (углубленный уровень) вызвали задания № 15 (справились 9,52% участников), 14 (14,29%), 13 (19,05%) и 12 (30,15%). Данные задания оценивают </w:t>
      </w:r>
      <w:r>
        <w:rPr>
          <w:color w:val="000000"/>
        </w:rPr>
        <w:t>развитие умений применять изученные понятия, результаты, методы для решения задач практического характера, решать задачи разных типов (на работу, покупки, движение),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решения, а также умение извлекать и анализировать информацию, представленную в таблицах, на диаграммах, графиках, 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ind w:firstLine="567"/>
        <w:jc w:val="both"/>
      </w:pPr>
      <w:r>
        <w:t>Наилучшие результаты по математике обучающиеся 7 класса показали, выполняя задания 2 и 3 (максимальный балл набрали 100% обучающихся); а также задания 5 и 6 (более 95% обучающихся справились с данными заданиями).</w:t>
      </w:r>
    </w:p>
    <w:p>
      <w:pPr>
        <w:ind w:firstLine="567"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725E4"/>
    <w:multiLevelType w:val="multilevel"/>
    <w:tmpl w:val="109725E4"/>
    <w:lvl w:ilvl="0" w:tentative="0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931" w:hanging="360"/>
      </w:pPr>
    </w:lvl>
    <w:lvl w:ilvl="2" w:tentative="0">
      <w:start w:val="1"/>
      <w:numFmt w:val="lowerRoman"/>
      <w:lvlText w:val="%3."/>
      <w:lvlJc w:val="right"/>
      <w:pPr>
        <w:ind w:left="2651" w:hanging="180"/>
      </w:pPr>
    </w:lvl>
    <w:lvl w:ilvl="3" w:tentative="0">
      <w:start w:val="1"/>
      <w:numFmt w:val="decimal"/>
      <w:lvlText w:val="%4."/>
      <w:lvlJc w:val="left"/>
      <w:pPr>
        <w:ind w:left="3371" w:hanging="360"/>
      </w:pPr>
    </w:lvl>
    <w:lvl w:ilvl="4" w:tentative="0">
      <w:start w:val="1"/>
      <w:numFmt w:val="lowerLetter"/>
      <w:lvlText w:val="%5."/>
      <w:lvlJc w:val="left"/>
      <w:pPr>
        <w:ind w:left="4091" w:hanging="360"/>
      </w:pPr>
    </w:lvl>
    <w:lvl w:ilvl="5" w:tentative="0">
      <w:start w:val="1"/>
      <w:numFmt w:val="lowerRoman"/>
      <w:lvlText w:val="%6."/>
      <w:lvlJc w:val="right"/>
      <w:pPr>
        <w:ind w:left="4811" w:hanging="180"/>
      </w:pPr>
    </w:lvl>
    <w:lvl w:ilvl="6" w:tentative="0">
      <w:start w:val="1"/>
      <w:numFmt w:val="decimal"/>
      <w:lvlText w:val="%7."/>
      <w:lvlJc w:val="left"/>
      <w:pPr>
        <w:ind w:left="5531" w:hanging="360"/>
      </w:pPr>
    </w:lvl>
    <w:lvl w:ilvl="7" w:tentative="0">
      <w:start w:val="1"/>
      <w:numFmt w:val="lowerLetter"/>
      <w:lvlText w:val="%8."/>
      <w:lvlJc w:val="left"/>
      <w:pPr>
        <w:ind w:left="6251" w:hanging="360"/>
      </w:pPr>
    </w:lvl>
    <w:lvl w:ilvl="8" w:tentative="0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87"/>
    <w:rsid w:val="0009252C"/>
    <w:rsid w:val="000B6369"/>
    <w:rsid w:val="00195A87"/>
    <w:rsid w:val="006C7CB1"/>
    <w:rsid w:val="007C3964"/>
    <w:rsid w:val="00821990"/>
    <w:rsid w:val="00AC623A"/>
    <w:rsid w:val="00CB313F"/>
    <w:rsid w:val="00CB4935"/>
    <w:rsid w:val="00D3799A"/>
    <w:rsid w:val="41D2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1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2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1742</Words>
  <Characters>9935</Characters>
  <Lines>82</Lines>
  <Paragraphs>23</Paragraphs>
  <TotalTime>55</TotalTime>
  <ScaleCrop>false</ScaleCrop>
  <LinksUpToDate>false</LinksUpToDate>
  <CharactersWithSpaces>11654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2023-09-13T11:26:00Z</dcterms:created>
  <dc:creator>Татьяна</dc:creator>
  <cp:lastModifiedBy>Гульшат Гарипова</cp:lastModifiedBy>
  <dcterms:modified xsi:type="dcterms:W3CDTF">2023-11-01T18:37:41Z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A242F0B6189E437EA03DB94BDF709342_12</vt:lpwstr>
  </property>
</Properties>
</file>